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5E30" w14:textId="77777777" w:rsidR="000F0F70" w:rsidRPr="00B60FB1" w:rsidRDefault="000F0F70" w:rsidP="000F0F70">
      <w:pPr>
        <w:rPr>
          <w:rFonts w:ascii="仿宋" w:eastAsia="仿宋" w:hAnsi="仿宋" w:hint="eastAsia"/>
          <w:b/>
          <w:bCs/>
          <w:sz w:val="30"/>
          <w:szCs w:val="30"/>
        </w:rPr>
      </w:pPr>
      <w:r w:rsidRPr="00B60FB1">
        <w:rPr>
          <w:rFonts w:ascii="仿宋" w:eastAsia="仿宋" w:hAnsi="仿宋" w:hint="eastAsia"/>
          <w:b/>
          <w:bCs/>
          <w:sz w:val="30"/>
          <w:szCs w:val="30"/>
        </w:rPr>
        <w:t>附件</w:t>
      </w:r>
    </w:p>
    <w:p w14:paraId="43112F67" w14:textId="77777777" w:rsidR="000F0F70" w:rsidRPr="00B60FB1" w:rsidRDefault="000F0F70" w:rsidP="000F0F70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7E13DE">
        <w:rPr>
          <w:rFonts w:ascii="仿宋" w:eastAsia="仿宋" w:hAnsi="仿宋"/>
          <w:b/>
          <w:bCs/>
          <w:sz w:val="44"/>
          <w:szCs w:val="44"/>
        </w:rPr>
        <w:t>202</w:t>
      </w:r>
      <w:r>
        <w:rPr>
          <w:rFonts w:ascii="仿宋" w:eastAsia="仿宋" w:hAnsi="仿宋" w:hint="eastAsia"/>
          <w:b/>
          <w:bCs/>
          <w:sz w:val="44"/>
          <w:szCs w:val="44"/>
        </w:rPr>
        <w:t>5</w:t>
      </w:r>
      <w:r w:rsidRPr="007E13DE">
        <w:rPr>
          <w:rFonts w:ascii="仿宋" w:eastAsia="仿宋" w:hAnsi="仿宋"/>
          <w:b/>
          <w:bCs/>
          <w:sz w:val="44"/>
          <w:szCs w:val="44"/>
        </w:rPr>
        <w:t>年</w:t>
      </w:r>
      <w:r w:rsidRPr="00B60FB1">
        <w:rPr>
          <w:rFonts w:ascii="仿宋" w:eastAsia="仿宋" w:hAnsi="仿宋" w:hint="eastAsia"/>
          <w:b/>
          <w:bCs/>
          <w:sz w:val="44"/>
          <w:szCs w:val="44"/>
        </w:rPr>
        <w:t>湾区拔尖创新青年培育基金立项名单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574"/>
        <w:gridCol w:w="4253"/>
        <w:gridCol w:w="1134"/>
        <w:gridCol w:w="1276"/>
        <w:gridCol w:w="768"/>
      </w:tblGrid>
      <w:tr w:rsidR="000F0F70" w:rsidRPr="00B60FB1" w14:paraId="56863E27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055465B4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574" w:type="dxa"/>
            <w:noWrap/>
            <w:vAlign w:val="center"/>
            <w:hideMark/>
          </w:tcPr>
          <w:p w14:paraId="11CE515B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253" w:type="dxa"/>
            <w:noWrap/>
            <w:vAlign w:val="center"/>
            <w:hideMark/>
          </w:tcPr>
          <w:p w14:paraId="3313D4EB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项目人员</w:t>
            </w:r>
          </w:p>
        </w:tc>
        <w:tc>
          <w:tcPr>
            <w:tcW w:w="1134" w:type="dxa"/>
            <w:noWrap/>
            <w:vAlign w:val="center"/>
            <w:hideMark/>
          </w:tcPr>
          <w:p w14:paraId="1ADC1271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76" w:type="dxa"/>
            <w:noWrap/>
            <w:vAlign w:val="center"/>
            <w:hideMark/>
          </w:tcPr>
          <w:p w14:paraId="07BC2F14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768" w:type="dxa"/>
            <w:noWrap/>
            <w:vAlign w:val="center"/>
            <w:hideMark/>
          </w:tcPr>
          <w:p w14:paraId="5966C451" w14:textId="77777777" w:rsidR="000F0F70" w:rsidRPr="00B60FB1" w:rsidRDefault="000F0F70" w:rsidP="004C328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项目级别</w:t>
            </w:r>
          </w:p>
        </w:tc>
      </w:tr>
      <w:tr w:rsidR="000F0F70" w:rsidRPr="00B60FB1" w14:paraId="574F3A20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770B3921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74" w:type="dxa"/>
            <w:noWrap/>
            <w:vAlign w:val="center"/>
          </w:tcPr>
          <w:p w14:paraId="049B9476" w14:textId="28B68A24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大湾区绿色贷款市场对企业可持续发展的作用研究</w:t>
            </w:r>
          </w:p>
        </w:tc>
        <w:tc>
          <w:tcPr>
            <w:tcW w:w="4253" w:type="dxa"/>
            <w:noWrap/>
            <w:vAlign w:val="center"/>
          </w:tcPr>
          <w:p w14:paraId="5F9B34E1" w14:textId="7DDE627D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马悦馨、陈睿琪、董子涵、周章烨</w:t>
            </w:r>
          </w:p>
        </w:tc>
        <w:tc>
          <w:tcPr>
            <w:tcW w:w="1134" w:type="dxa"/>
            <w:vAlign w:val="center"/>
          </w:tcPr>
          <w:p w14:paraId="6048768D" w14:textId="5775465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张智敏</w:t>
            </w:r>
          </w:p>
        </w:tc>
        <w:tc>
          <w:tcPr>
            <w:tcW w:w="1276" w:type="dxa"/>
            <w:noWrap/>
            <w:vAlign w:val="center"/>
          </w:tcPr>
          <w:p w14:paraId="56F8DEC1" w14:textId="4917D42A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248682A8" w14:textId="32332C52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3B72859F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1575C853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74" w:type="dxa"/>
            <w:noWrap/>
            <w:vAlign w:val="center"/>
          </w:tcPr>
          <w:p w14:paraId="6292E4CD" w14:textId="70381031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Cognitive Constraints and the Evolution of Anomalies: A Heterogeneous Learning Framework for Market Efficiency in the Age of Big Data</w:t>
            </w:r>
          </w:p>
        </w:tc>
        <w:tc>
          <w:tcPr>
            <w:tcW w:w="4253" w:type="dxa"/>
            <w:noWrap/>
            <w:vAlign w:val="center"/>
          </w:tcPr>
          <w:p w14:paraId="386085B5" w14:textId="31D20FCD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王嘉航、杨刘馨竹、马溪钒、林依芃</w:t>
            </w:r>
          </w:p>
        </w:tc>
        <w:tc>
          <w:tcPr>
            <w:tcW w:w="1134" w:type="dxa"/>
            <w:vAlign w:val="center"/>
          </w:tcPr>
          <w:p w14:paraId="69F6468B" w14:textId="62B509C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陈应东</w:t>
            </w:r>
          </w:p>
        </w:tc>
        <w:tc>
          <w:tcPr>
            <w:tcW w:w="1276" w:type="dxa"/>
            <w:noWrap/>
            <w:vAlign w:val="center"/>
          </w:tcPr>
          <w:p w14:paraId="27FD41E0" w14:textId="564617F9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39D5001F" w14:textId="5A129A2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48E164D9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337CEEDE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74" w:type="dxa"/>
            <w:noWrap/>
            <w:vAlign w:val="center"/>
          </w:tcPr>
          <w:p w14:paraId="5AE486C6" w14:textId="16AFA255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银龄智享科技有限公司</w:t>
            </w:r>
          </w:p>
        </w:tc>
        <w:tc>
          <w:tcPr>
            <w:tcW w:w="4253" w:type="dxa"/>
            <w:noWrap/>
            <w:vAlign w:val="center"/>
          </w:tcPr>
          <w:p w14:paraId="0C1348C1" w14:textId="6AF34F26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刘昊、茹钰清、邓玉叶、曾婉雅</w:t>
            </w:r>
          </w:p>
        </w:tc>
        <w:tc>
          <w:tcPr>
            <w:tcW w:w="1134" w:type="dxa"/>
            <w:vAlign w:val="center"/>
          </w:tcPr>
          <w:p w14:paraId="5ADABA07" w14:textId="13304E75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张智敏</w:t>
            </w:r>
          </w:p>
        </w:tc>
        <w:tc>
          <w:tcPr>
            <w:tcW w:w="1276" w:type="dxa"/>
            <w:noWrap/>
            <w:vAlign w:val="center"/>
          </w:tcPr>
          <w:p w14:paraId="141F74F0" w14:textId="3F3E967A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商业实践项目</w:t>
            </w:r>
          </w:p>
        </w:tc>
        <w:tc>
          <w:tcPr>
            <w:tcW w:w="768" w:type="dxa"/>
            <w:noWrap/>
            <w:vAlign w:val="center"/>
          </w:tcPr>
          <w:p w14:paraId="15D5DF3A" w14:textId="5F1F9418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072D8EAA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09E6BC31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574" w:type="dxa"/>
            <w:noWrap/>
            <w:vAlign w:val="center"/>
          </w:tcPr>
          <w:p w14:paraId="73CE51BB" w14:textId="59814B63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新质生产力驱动下的绿色创新：CCUS技术商业化发展机遇、挑战与对策研究</w:t>
            </w:r>
          </w:p>
        </w:tc>
        <w:tc>
          <w:tcPr>
            <w:tcW w:w="4253" w:type="dxa"/>
            <w:noWrap/>
            <w:vAlign w:val="center"/>
          </w:tcPr>
          <w:p w14:paraId="4D225A09" w14:textId="5035F9A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刘穆穆、赵海月、郑雁桐</w:t>
            </w:r>
          </w:p>
        </w:tc>
        <w:tc>
          <w:tcPr>
            <w:tcW w:w="1134" w:type="dxa"/>
            <w:vAlign w:val="center"/>
          </w:tcPr>
          <w:p w14:paraId="39E4E2B6" w14:textId="41B7F3C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檀之舟</w:t>
            </w:r>
          </w:p>
        </w:tc>
        <w:tc>
          <w:tcPr>
            <w:tcW w:w="1276" w:type="dxa"/>
            <w:noWrap/>
            <w:vAlign w:val="center"/>
          </w:tcPr>
          <w:p w14:paraId="1CDA38FC" w14:textId="490F1CC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7AC8DF5B" w14:textId="63CF4306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147565DE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79C6B2BF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574" w:type="dxa"/>
            <w:noWrap/>
            <w:vAlign w:val="center"/>
          </w:tcPr>
          <w:p w14:paraId="56C442EB" w14:textId="214B2362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大湾区绿色贷款市场对企业可持续发展的作用研究</w:t>
            </w:r>
          </w:p>
        </w:tc>
        <w:tc>
          <w:tcPr>
            <w:tcW w:w="4253" w:type="dxa"/>
            <w:noWrap/>
            <w:vAlign w:val="center"/>
          </w:tcPr>
          <w:p w14:paraId="42482330" w14:textId="5A993726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马悦馨、陈睿琪、董子涵、周章烨</w:t>
            </w:r>
          </w:p>
        </w:tc>
        <w:tc>
          <w:tcPr>
            <w:tcW w:w="1134" w:type="dxa"/>
            <w:vAlign w:val="center"/>
          </w:tcPr>
          <w:p w14:paraId="647ABEE7" w14:textId="42E590C2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张智敏</w:t>
            </w:r>
          </w:p>
        </w:tc>
        <w:tc>
          <w:tcPr>
            <w:tcW w:w="1276" w:type="dxa"/>
            <w:noWrap/>
            <w:vAlign w:val="center"/>
          </w:tcPr>
          <w:p w14:paraId="53FA9549" w14:textId="7BEF482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vAlign w:val="center"/>
          </w:tcPr>
          <w:p w14:paraId="4F3DE48A" w14:textId="25AFECA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57289133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76D1A00E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574" w:type="dxa"/>
            <w:noWrap/>
            <w:vAlign w:val="center"/>
          </w:tcPr>
          <w:p w14:paraId="62F631F2" w14:textId="58BBC14F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“双碳”战略发展目标下CCUS技术在钢铁部门的经济适用性、潜在挑战与应对策略分析</w:t>
            </w:r>
          </w:p>
        </w:tc>
        <w:tc>
          <w:tcPr>
            <w:tcW w:w="4253" w:type="dxa"/>
            <w:noWrap/>
            <w:vAlign w:val="center"/>
          </w:tcPr>
          <w:p w14:paraId="19E6EA4E" w14:textId="35F3CE83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晋彬、李旭坤</w:t>
            </w:r>
          </w:p>
        </w:tc>
        <w:tc>
          <w:tcPr>
            <w:tcW w:w="1134" w:type="dxa"/>
            <w:vAlign w:val="center"/>
          </w:tcPr>
          <w:p w14:paraId="4AB78090" w14:textId="6546571F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檀之舟</w:t>
            </w:r>
          </w:p>
        </w:tc>
        <w:tc>
          <w:tcPr>
            <w:tcW w:w="1276" w:type="dxa"/>
            <w:noWrap/>
            <w:vAlign w:val="center"/>
          </w:tcPr>
          <w:p w14:paraId="7CCBE010" w14:textId="568930C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vAlign w:val="center"/>
          </w:tcPr>
          <w:p w14:paraId="345FB827" w14:textId="682221E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7BBAF62F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4A5733FC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74" w:type="dxa"/>
            <w:noWrap/>
            <w:vAlign w:val="center"/>
          </w:tcPr>
          <w:p w14:paraId="0E7217F3" w14:textId="007C922A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“双刃剑的哪一面？”：政府采购如何影响企业投资——基于地方财政压力视角的再检验</w:t>
            </w:r>
          </w:p>
        </w:tc>
        <w:tc>
          <w:tcPr>
            <w:tcW w:w="4253" w:type="dxa"/>
            <w:noWrap/>
            <w:vAlign w:val="center"/>
          </w:tcPr>
          <w:p w14:paraId="4A0D911B" w14:textId="45FFFB8C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成继龙、张颖、赵文琪、陈梦佳、钟达荣</w:t>
            </w:r>
          </w:p>
        </w:tc>
        <w:tc>
          <w:tcPr>
            <w:tcW w:w="1134" w:type="dxa"/>
            <w:noWrap/>
            <w:vAlign w:val="center"/>
          </w:tcPr>
          <w:p w14:paraId="05848BC2" w14:textId="0861FCB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48F247E0" w14:textId="3229733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11BC3146" w14:textId="7B34EFC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65B94943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4E836C46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574" w:type="dxa"/>
            <w:vAlign w:val="center"/>
          </w:tcPr>
          <w:p w14:paraId="22DD955E" w14:textId="38E04C83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生成式人工智能用户粘性机制研究——基于人工智能特征和认知失调理论的分析</w:t>
            </w:r>
          </w:p>
        </w:tc>
        <w:tc>
          <w:tcPr>
            <w:tcW w:w="4253" w:type="dxa"/>
            <w:noWrap/>
            <w:vAlign w:val="center"/>
          </w:tcPr>
          <w:p w14:paraId="29B80C1E" w14:textId="0FE40A8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罗紫月、赵润铠、李珂馨</w:t>
            </w:r>
          </w:p>
        </w:tc>
        <w:tc>
          <w:tcPr>
            <w:tcW w:w="1134" w:type="dxa"/>
            <w:vAlign w:val="center"/>
          </w:tcPr>
          <w:p w14:paraId="14B5B3FE" w14:textId="3A753EE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李荣杰</w:t>
            </w:r>
          </w:p>
        </w:tc>
        <w:tc>
          <w:tcPr>
            <w:tcW w:w="1276" w:type="dxa"/>
            <w:noWrap/>
            <w:vAlign w:val="center"/>
          </w:tcPr>
          <w:p w14:paraId="19C6C9A1" w14:textId="3EFA030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7A31DB5C" w14:textId="1853BDE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326629CF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  <w:hideMark/>
          </w:tcPr>
          <w:p w14:paraId="103C7E76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F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574" w:type="dxa"/>
            <w:noWrap/>
            <w:vAlign w:val="center"/>
          </w:tcPr>
          <w:p w14:paraId="7BCC36A7" w14:textId="5FA7FE09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能源转型过程中的公平性研究现状分析与未来趋势展望</w:t>
            </w:r>
          </w:p>
        </w:tc>
        <w:tc>
          <w:tcPr>
            <w:tcW w:w="4253" w:type="dxa"/>
            <w:noWrap/>
            <w:vAlign w:val="center"/>
          </w:tcPr>
          <w:p w14:paraId="645990F0" w14:textId="4AC979EF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郭可盈、陈姝亦、程炜怡、王子妍</w:t>
            </w:r>
          </w:p>
        </w:tc>
        <w:tc>
          <w:tcPr>
            <w:tcW w:w="1134" w:type="dxa"/>
            <w:vAlign w:val="center"/>
          </w:tcPr>
          <w:p w14:paraId="5B1A3328" w14:textId="2E57976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檀之舟</w:t>
            </w:r>
          </w:p>
        </w:tc>
        <w:tc>
          <w:tcPr>
            <w:tcW w:w="1276" w:type="dxa"/>
            <w:noWrap/>
            <w:vAlign w:val="center"/>
          </w:tcPr>
          <w:p w14:paraId="17297BEC" w14:textId="7158DCA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2D83BFE9" w14:textId="7915EB6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33697F11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45EADB6" w14:textId="7777777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5574" w:type="dxa"/>
            <w:noWrap/>
            <w:vAlign w:val="center"/>
          </w:tcPr>
          <w:p w14:paraId="0F3AEBD9" w14:textId="58F3B3B1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中国官员治理体系下政府引导基金的运营模式及其经济后果研究</w:t>
            </w:r>
          </w:p>
        </w:tc>
        <w:tc>
          <w:tcPr>
            <w:tcW w:w="4253" w:type="dxa"/>
            <w:noWrap/>
            <w:vAlign w:val="center"/>
          </w:tcPr>
          <w:p w14:paraId="6276974E" w14:textId="184163D9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高芊芊、汤梓燊</w:t>
            </w:r>
          </w:p>
        </w:tc>
        <w:tc>
          <w:tcPr>
            <w:tcW w:w="1134" w:type="dxa"/>
            <w:vAlign w:val="center"/>
          </w:tcPr>
          <w:p w14:paraId="7A97835E" w14:textId="1FA0277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2197ACE7" w14:textId="5E15E8F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52D0E838" w14:textId="0996966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357E9702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AD4410F" w14:textId="357A2610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74" w:type="dxa"/>
            <w:noWrap/>
            <w:vAlign w:val="center"/>
          </w:tcPr>
          <w:p w14:paraId="3BD0D921" w14:textId="7113FADA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财政压力、政府采购与企业估值——基于增值税税率下调的证据</w:t>
            </w:r>
          </w:p>
        </w:tc>
        <w:tc>
          <w:tcPr>
            <w:tcW w:w="4253" w:type="dxa"/>
            <w:noWrap/>
            <w:vAlign w:val="center"/>
          </w:tcPr>
          <w:p w14:paraId="5626AA6B" w14:textId="268B6174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范泳言、郭涵</w:t>
            </w:r>
          </w:p>
        </w:tc>
        <w:tc>
          <w:tcPr>
            <w:tcW w:w="1134" w:type="dxa"/>
            <w:vAlign w:val="center"/>
          </w:tcPr>
          <w:p w14:paraId="2464A623" w14:textId="4C26541D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44464955" w14:textId="7575C67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577819B2" w14:textId="424C56B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093B5FBF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5473FD4B" w14:textId="34E3552A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74" w:type="dxa"/>
            <w:noWrap/>
            <w:vAlign w:val="center"/>
          </w:tcPr>
          <w:p w14:paraId="00C910B9" w14:textId="05A88CD2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逆全球化浪潮下中国外贸行业的韧性评估和破局之道</w:t>
            </w:r>
          </w:p>
        </w:tc>
        <w:tc>
          <w:tcPr>
            <w:tcW w:w="4253" w:type="dxa"/>
            <w:noWrap/>
            <w:vAlign w:val="center"/>
          </w:tcPr>
          <w:p w14:paraId="3C9340F4" w14:textId="2E2F06F1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马菁晗、邱婕、李峥、韩栩枞、李锦瑶</w:t>
            </w:r>
          </w:p>
        </w:tc>
        <w:tc>
          <w:tcPr>
            <w:tcW w:w="1134" w:type="dxa"/>
            <w:vAlign w:val="center"/>
          </w:tcPr>
          <w:p w14:paraId="782FAFDF" w14:textId="5D2A1D4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俞成铮</w:t>
            </w:r>
          </w:p>
        </w:tc>
        <w:tc>
          <w:tcPr>
            <w:tcW w:w="1276" w:type="dxa"/>
            <w:noWrap/>
            <w:vAlign w:val="center"/>
          </w:tcPr>
          <w:p w14:paraId="587B0482" w14:textId="33B2CCF8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0268CADE" w14:textId="6D6E1032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1C8D9C24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516BB008" w14:textId="0E492FB3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574" w:type="dxa"/>
            <w:noWrap/>
            <w:vAlign w:val="center"/>
          </w:tcPr>
          <w:p w14:paraId="2B4CFBED" w14:textId="327040A8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分布式光伏项目的开发潜力与社会环境效益评估——基于广东省</w:t>
            </w:r>
          </w:p>
        </w:tc>
        <w:tc>
          <w:tcPr>
            <w:tcW w:w="4253" w:type="dxa"/>
            <w:noWrap/>
            <w:vAlign w:val="center"/>
          </w:tcPr>
          <w:p w14:paraId="4369757C" w14:textId="176D357D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江涵恩、赵海峰、陈锘圆</w:t>
            </w:r>
          </w:p>
        </w:tc>
        <w:tc>
          <w:tcPr>
            <w:tcW w:w="1134" w:type="dxa"/>
            <w:vAlign w:val="center"/>
          </w:tcPr>
          <w:p w14:paraId="3FCCED57" w14:textId="53A9C8B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白波</w:t>
            </w:r>
          </w:p>
        </w:tc>
        <w:tc>
          <w:tcPr>
            <w:tcW w:w="1276" w:type="dxa"/>
            <w:noWrap/>
            <w:vAlign w:val="center"/>
          </w:tcPr>
          <w:p w14:paraId="33B9ED89" w14:textId="3384DE55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7EDA6CD1" w14:textId="0B5226E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2ABEB22B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035A3EE1" w14:textId="26E1D787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574" w:type="dxa"/>
            <w:noWrap/>
            <w:vAlign w:val="center"/>
          </w:tcPr>
          <w:p w14:paraId="382AE29B" w14:textId="69ABB626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碳捕集、利用与封存（CCUS）全过程风险评估与安全管理体系研究</w:t>
            </w:r>
          </w:p>
        </w:tc>
        <w:tc>
          <w:tcPr>
            <w:tcW w:w="4253" w:type="dxa"/>
            <w:noWrap/>
            <w:vAlign w:val="center"/>
          </w:tcPr>
          <w:p w14:paraId="604415DF" w14:textId="7B77B328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张淑净、陈孜熙</w:t>
            </w:r>
          </w:p>
        </w:tc>
        <w:tc>
          <w:tcPr>
            <w:tcW w:w="1134" w:type="dxa"/>
            <w:vAlign w:val="center"/>
          </w:tcPr>
          <w:p w14:paraId="2F07E361" w14:textId="3A21003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檀之舟</w:t>
            </w:r>
          </w:p>
        </w:tc>
        <w:tc>
          <w:tcPr>
            <w:tcW w:w="1276" w:type="dxa"/>
            <w:noWrap/>
            <w:vAlign w:val="center"/>
          </w:tcPr>
          <w:p w14:paraId="5CAAD222" w14:textId="1F11189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204C50A6" w14:textId="6DEA1D7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60984145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631FFA49" w14:textId="51528C20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74" w:type="dxa"/>
            <w:noWrap/>
            <w:vAlign w:val="center"/>
          </w:tcPr>
          <w:p w14:paraId="5CD1A366" w14:textId="49787328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政府投资基金与民营投资基金运作模式差异对比——基于逐笔投资事件的证据</w:t>
            </w:r>
          </w:p>
        </w:tc>
        <w:tc>
          <w:tcPr>
            <w:tcW w:w="4253" w:type="dxa"/>
            <w:noWrap/>
            <w:vAlign w:val="center"/>
          </w:tcPr>
          <w:p w14:paraId="71767AEF" w14:textId="2CE6B028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夏添、姜楚羽、杜彬</w:t>
            </w:r>
          </w:p>
        </w:tc>
        <w:tc>
          <w:tcPr>
            <w:tcW w:w="1134" w:type="dxa"/>
            <w:vAlign w:val="center"/>
          </w:tcPr>
          <w:p w14:paraId="69571ED4" w14:textId="2900B43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4E469C88" w14:textId="1B0E78FA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05EFEE5E" w14:textId="1543BDE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6C6DEC06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568A1D7" w14:textId="51E3395A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74" w:type="dxa"/>
            <w:noWrap/>
            <w:vAlign w:val="center"/>
          </w:tcPr>
          <w:p w14:paraId="3A1587C1" w14:textId="62D816E9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内生化竞争领域：战略部门选择与政策竞争的两阶段博弈</w:t>
            </w:r>
          </w:p>
        </w:tc>
        <w:tc>
          <w:tcPr>
            <w:tcW w:w="4253" w:type="dxa"/>
            <w:noWrap/>
            <w:vAlign w:val="center"/>
          </w:tcPr>
          <w:p w14:paraId="6705B800" w14:textId="16F3CF00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杨恒祎、袁毅、艾思成、林广源</w:t>
            </w:r>
          </w:p>
        </w:tc>
        <w:tc>
          <w:tcPr>
            <w:tcW w:w="1134" w:type="dxa"/>
            <w:vAlign w:val="center"/>
          </w:tcPr>
          <w:p w14:paraId="6170BD60" w14:textId="2258EB2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陈应东</w:t>
            </w:r>
          </w:p>
        </w:tc>
        <w:tc>
          <w:tcPr>
            <w:tcW w:w="1276" w:type="dxa"/>
            <w:noWrap/>
            <w:vAlign w:val="center"/>
          </w:tcPr>
          <w:p w14:paraId="3D1E02DD" w14:textId="4840DFF9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43609CD8" w14:textId="7BDD39E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2162787A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29D1EDF" w14:textId="73AACDA2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74" w:type="dxa"/>
            <w:noWrap/>
            <w:vAlign w:val="center"/>
          </w:tcPr>
          <w:p w14:paraId="10B63771" w14:textId="7102788D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科技企业创新零突破的测度、分布与政策动因分析</w:t>
            </w:r>
          </w:p>
        </w:tc>
        <w:tc>
          <w:tcPr>
            <w:tcW w:w="4253" w:type="dxa"/>
            <w:noWrap/>
            <w:vAlign w:val="center"/>
          </w:tcPr>
          <w:p w14:paraId="3979A937" w14:textId="06D7B755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杨筱曜、林秋彤、邓善今</w:t>
            </w:r>
          </w:p>
        </w:tc>
        <w:tc>
          <w:tcPr>
            <w:tcW w:w="1134" w:type="dxa"/>
            <w:vAlign w:val="center"/>
          </w:tcPr>
          <w:p w14:paraId="0B5D818B" w14:textId="1CA0DFF8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方胜</w:t>
            </w:r>
          </w:p>
        </w:tc>
        <w:tc>
          <w:tcPr>
            <w:tcW w:w="1276" w:type="dxa"/>
            <w:noWrap/>
            <w:vAlign w:val="center"/>
          </w:tcPr>
          <w:p w14:paraId="1D3F6DD1" w14:textId="62BCE76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2564A6DF" w14:textId="0405A6F2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244CD635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23C9BA5C" w14:textId="5A533064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574" w:type="dxa"/>
            <w:noWrap/>
            <w:vAlign w:val="center"/>
          </w:tcPr>
          <w:p w14:paraId="0CFF16B2" w14:textId="67E24D8E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“大食物观”视角下食品价格波动对居民营养结构的影响</w:t>
            </w:r>
          </w:p>
        </w:tc>
        <w:tc>
          <w:tcPr>
            <w:tcW w:w="4253" w:type="dxa"/>
            <w:noWrap/>
            <w:vAlign w:val="center"/>
          </w:tcPr>
          <w:p w14:paraId="311651C7" w14:textId="6FC630E7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邢力元、胡学栋、冯誉峰</w:t>
            </w:r>
          </w:p>
        </w:tc>
        <w:tc>
          <w:tcPr>
            <w:tcW w:w="1134" w:type="dxa"/>
            <w:vAlign w:val="center"/>
          </w:tcPr>
          <w:p w14:paraId="404C1217" w14:textId="214EF279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王岩</w:t>
            </w:r>
          </w:p>
        </w:tc>
        <w:tc>
          <w:tcPr>
            <w:tcW w:w="1276" w:type="dxa"/>
            <w:noWrap/>
            <w:vAlign w:val="center"/>
          </w:tcPr>
          <w:p w14:paraId="415ECB2E" w14:textId="6CB8DCCD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6CA580D8" w14:textId="0AFBA44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4E9418CA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4333B183" w14:textId="3D24A0BD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574" w:type="dxa"/>
            <w:noWrap/>
            <w:vAlign w:val="center"/>
          </w:tcPr>
          <w:p w14:paraId="312DD94A" w14:textId="4D3E6BC6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政府数字治理对企业短债长投的影响机制分析</w:t>
            </w:r>
          </w:p>
        </w:tc>
        <w:tc>
          <w:tcPr>
            <w:tcW w:w="4253" w:type="dxa"/>
            <w:noWrap/>
            <w:vAlign w:val="center"/>
          </w:tcPr>
          <w:p w14:paraId="46F5B889" w14:textId="6EB9643E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张蕊、黄婧涵、刘思敏、曾雅玲、汪紫嫣</w:t>
            </w:r>
          </w:p>
        </w:tc>
        <w:tc>
          <w:tcPr>
            <w:tcW w:w="1134" w:type="dxa"/>
            <w:vAlign w:val="center"/>
          </w:tcPr>
          <w:p w14:paraId="5BB532A4" w14:textId="59478C24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戴翔</w:t>
            </w:r>
          </w:p>
        </w:tc>
        <w:tc>
          <w:tcPr>
            <w:tcW w:w="1276" w:type="dxa"/>
            <w:noWrap/>
            <w:vAlign w:val="center"/>
          </w:tcPr>
          <w:p w14:paraId="5164935F" w14:textId="28D83764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1A767C87" w14:textId="09D1C9E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793E3CE7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0B7F59CA" w14:textId="14723D2F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74" w:type="dxa"/>
            <w:noWrap/>
            <w:vAlign w:val="center"/>
          </w:tcPr>
          <w:p w14:paraId="2FA444DE" w14:textId="503B5CD6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免费普及高中教育对代际流动性的影响</w:t>
            </w:r>
          </w:p>
        </w:tc>
        <w:tc>
          <w:tcPr>
            <w:tcW w:w="4253" w:type="dxa"/>
            <w:noWrap/>
            <w:vAlign w:val="center"/>
          </w:tcPr>
          <w:p w14:paraId="4BF2D21D" w14:textId="1065673F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赵漾阳、王玥淇</w:t>
            </w:r>
          </w:p>
        </w:tc>
        <w:tc>
          <w:tcPr>
            <w:tcW w:w="1134" w:type="dxa"/>
            <w:vAlign w:val="center"/>
          </w:tcPr>
          <w:p w14:paraId="3D7377BB" w14:textId="1D3685C6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11C50891" w14:textId="4FB6C50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4EE66F07" w14:textId="31B0D3E4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本科生组</w:t>
            </w:r>
          </w:p>
        </w:tc>
      </w:tr>
      <w:tr w:rsidR="000F0F70" w:rsidRPr="00B60FB1" w14:paraId="629C5139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730722CF" w14:textId="4A591A12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574" w:type="dxa"/>
            <w:noWrap/>
            <w:vAlign w:val="center"/>
          </w:tcPr>
          <w:p w14:paraId="73CF5B94" w14:textId="7073E757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新质生产力对专精特新“小巨人”企业财务韧性的影响研究</w:t>
            </w:r>
          </w:p>
        </w:tc>
        <w:tc>
          <w:tcPr>
            <w:tcW w:w="4253" w:type="dxa"/>
            <w:noWrap/>
            <w:vAlign w:val="center"/>
          </w:tcPr>
          <w:p w14:paraId="74F92AAF" w14:textId="297EE753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张天烁、王婷、张一博</w:t>
            </w:r>
          </w:p>
        </w:tc>
        <w:tc>
          <w:tcPr>
            <w:tcW w:w="1134" w:type="dxa"/>
            <w:vAlign w:val="center"/>
          </w:tcPr>
          <w:p w14:paraId="15E76766" w14:textId="047D123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张智敏</w:t>
            </w:r>
          </w:p>
        </w:tc>
        <w:tc>
          <w:tcPr>
            <w:tcW w:w="1276" w:type="dxa"/>
            <w:noWrap/>
            <w:vAlign w:val="center"/>
          </w:tcPr>
          <w:p w14:paraId="69767637" w14:textId="4D3101F4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00A204BC" w14:textId="6C24C109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0019C184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4A90BD2" w14:textId="4E099164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574" w:type="dxa"/>
            <w:noWrap/>
            <w:vAlign w:val="center"/>
          </w:tcPr>
          <w:p w14:paraId="34374058" w14:textId="590E567A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普惠金融与代际收入流动性——基于小微支行设立的准自然实验证据</w:t>
            </w:r>
          </w:p>
        </w:tc>
        <w:tc>
          <w:tcPr>
            <w:tcW w:w="4253" w:type="dxa"/>
            <w:noWrap/>
            <w:vAlign w:val="center"/>
          </w:tcPr>
          <w:p w14:paraId="46AC4DA1" w14:textId="161868D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曹乐乐</w:t>
            </w:r>
          </w:p>
        </w:tc>
        <w:tc>
          <w:tcPr>
            <w:tcW w:w="1134" w:type="dxa"/>
            <w:vAlign w:val="center"/>
          </w:tcPr>
          <w:p w14:paraId="5B2AF546" w14:textId="417B479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1A106BD4" w14:textId="31754D62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03055EFD" w14:textId="7C267BE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2A05E3BC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44E713C7" w14:textId="1B1393D4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5574" w:type="dxa"/>
            <w:noWrap/>
            <w:vAlign w:val="center"/>
          </w:tcPr>
          <w:p w14:paraId="6FEE8E2F" w14:textId="6B6CE5F9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资本跨区域流动的财政金融协同驱动逻辑：来自政采贷的经验证据</w:t>
            </w:r>
          </w:p>
        </w:tc>
        <w:tc>
          <w:tcPr>
            <w:tcW w:w="4253" w:type="dxa"/>
            <w:noWrap/>
            <w:vAlign w:val="center"/>
          </w:tcPr>
          <w:p w14:paraId="2DD1998F" w14:textId="4BBF682F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耿恩宇、许若妍</w:t>
            </w:r>
          </w:p>
        </w:tc>
        <w:tc>
          <w:tcPr>
            <w:tcW w:w="1134" w:type="dxa"/>
            <w:vAlign w:val="center"/>
          </w:tcPr>
          <w:p w14:paraId="5CFCDFC9" w14:textId="090CAE1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孙泽宇</w:t>
            </w:r>
          </w:p>
        </w:tc>
        <w:tc>
          <w:tcPr>
            <w:tcW w:w="1276" w:type="dxa"/>
            <w:noWrap/>
            <w:vAlign w:val="center"/>
          </w:tcPr>
          <w:p w14:paraId="6C21FDE1" w14:textId="46805C9C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6F159519" w14:textId="456DB0DA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5419404C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6A07ED02" w14:textId="7A890D93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74" w:type="dxa"/>
            <w:noWrap/>
            <w:vAlign w:val="center"/>
          </w:tcPr>
          <w:p w14:paraId="4D1C61F5" w14:textId="1C266F6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外贸新业态与创新网络中心地位——来自跨境电商综合试验区的证据</w:t>
            </w:r>
          </w:p>
        </w:tc>
        <w:tc>
          <w:tcPr>
            <w:tcW w:w="4253" w:type="dxa"/>
            <w:noWrap/>
            <w:vAlign w:val="center"/>
          </w:tcPr>
          <w:p w14:paraId="54E6D3FC" w14:textId="098D15A5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邓林海、孙凯</w:t>
            </w:r>
          </w:p>
        </w:tc>
        <w:tc>
          <w:tcPr>
            <w:tcW w:w="1134" w:type="dxa"/>
            <w:vAlign w:val="center"/>
          </w:tcPr>
          <w:p w14:paraId="365F5E89" w14:textId="04841025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仲鑫</w:t>
            </w:r>
          </w:p>
        </w:tc>
        <w:tc>
          <w:tcPr>
            <w:tcW w:w="1276" w:type="dxa"/>
            <w:noWrap/>
            <w:vAlign w:val="center"/>
          </w:tcPr>
          <w:p w14:paraId="03BA8E82" w14:textId="596C0D91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26F9B173" w14:textId="2151615F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6B1CDBF9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6F014810" w14:textId="415B0936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574" w:type="dxa"/>
            <w:noWrap/>
            <w:vAlign w:val="center"/>
          </w:tcPr>
          <w:p w14:paraId="1F3688FF" w14:textId="4A11505A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国际金融风险对我国贸易网络的影响、机制与应对策略</w:t>
            </w:r>
          </w:p>
        </w:tc>
        <w:tc>
          <w:tcPr>
            <w:tcW w:w="4253" w:type="dxa"/>
            <w:noWrap/>
            <w:vAlign w:val="center"/>
          </w:tcPr>
          <w:p w14:paraId="0A3269CB" w14:textId="15447A8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魏子芯、程正涛</w:t>
            </w:r>
          </w:p>
        </w:tc>
        <w:tc>
          <w:tcPr>
            <w:tcW w:w="1134" w:type="dxa"/>
            <w:vAlign w:val="center"/>
          </w:tcPr>
          <w:p w14:paraId="4B114B57" w14:textId="7F1DE4E8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仲鑫</w:t>
            </w:r>
          </w:p>
        </w:tc>
        <w:tc>
          <w:tcPr>
            <w:tcW w:w="1276" w:type="dxa"/>
            <w:noWrap/>
            <w:vAlign w:val="center"/>
          </w:tcPr>
          <w:p w14:paraId="71842417" w14:textId="38E3A440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75697E3D" w14:textId="1020EA6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2A10869F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1C933813" w14:textId="498544D9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74" w:type="dxa"/>
            <w:noWrap/>
            <w:vAlign w:val="center"/>
          </w:tcPr>
          <w:p w14:paraId="56DAFE27" w14:textId="59CDC311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“劣币出清”能否缓解同行企业的股价崩盘风险？——来自常态化退市时代的经验证据</w:t>
            </w:r>
          </w:p>
        </w:tc>
        <w:tc>
          <w:tcPr>
            <w:tcW w:w="4253" w:type="dxa"/>
            <w:noWrap/>
            <w:vAlign w:val="center"/>
          </w:tcPr>
          <w:p w14:paraId="2A55026C" w14:textId="45C145D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魏玉帆、朱芳玲、侯亦丽、李博一</w:t>
            </w:r>
          </w:p>
        </w:tc>
        <w:tc>
          <w:tcPr>
            <w:tcW w:w="1134" w:type="dxa"/>
            <w:vAlign w:val="center"/>
          </w:tcPr>
          <w:p w14:paraId="1A4AC46D" w14:textId="22A1C4DE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415E3F3F" w14:textId="330A381D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57AD2FD3" w14:textId="2A17849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30090BD1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465F789C" w14:textId="12630004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74" w:type="dxa"/>
            <w:noWrap/>
            <w:vAlign w:val="center"/>
          </w:tcPr>
          <w:p w14:paraId="57A2DFB2" w14:textId="63470081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数字产品进口与绿色技术创新</w:t>
            </w:r>
          </w:p>
        </w:tc>
        <w:tc>
          <w:tcPr>
            <w:tcW w:w="4253" w:type="dxa"/>
            <w:noWrap/>
            <w:vAlign w:val="center"/>
          </w:tcPr>
          <w:p w14:paraId="1E6CA681" w14:textId="35EB38AB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肖敬彤、熊鼎</w:t>
            </w:r>
          </w:p>
        </w:tc>
        <w:tc>
          <w:tcPr>
            <w:tcW w:w="1134" w:type="dxa"/>
            <w:vAlign w:val="center"/>
          </w:tcPr>
          <w:p w14:paraId="493C597C" w14:textId="1BE9CFDD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仲鑫</w:t>
            </w:r>
          </w:p>
        </w:tc>
        <w:tc>
          <w:tcPr>
            <w:tcW w:w="1276" w:type="dxa"/>
            <w:noWrap/>
            <w:vAlign w:val="center"/>
          </w:tcPr>
          <w:p w14:paraId="2B41D3D9" w14:textId="73D81FA8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1768F198" w14:textId="45437015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  <w:tr w:rsidR="000F0F70" w:rsidRPr="00B60FB1" w14:paraId="28FAF464" w14:textId="77777777" w:rsidTr="00A07510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14:paraId="0F6BE3C8" w14:textId="72A5AE7D" w:rsidR="000F0F70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574" w:type="dxa"/>
            <w:noWrap/>
            <w:vAlign w:val="center"/>
          </w:tcPr>
          <w:p w14:paraId="390E2A53" w14:textId="472FBFCD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“沉舟侧畔千帆过”：退市冲击如何影响同行企业？</w:t>
            </w:r>
          </w:p>
        </w:tc>
        <w:tc>
          <w:tcPr>
            <w:tcW w:w="4253" w:type="dxa"/>
            <w:noWrap/>
            <w:vAlign w:val="center"/>
          </w:tcPr>
          <w:p w14:paraId="6F7A949B" w14:textId="0DDE0413" w:rsidR="000F0F70" w:rsidRPr="00B60FB1" w:rsidRDefault="000F0F70" w:rsidP="000F0F7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姚彦如、盘葭、李胜男、曾子原</w:t>
            </w:r>
          </w:p>
        </w:tc>
        <w:tc>
          <w:tcPr>
            <w:tcW w:w="1134" w:type="dxa"/>
            <w:vAlign w:val="center"/>
          </w:tcPr>
          <w:p w14:paraId="4CA3F213" w14:textId="194F1643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林志帆</w:t>
            </w:r>
          </w:p>
        </w:tc>
        <w:tc>
          <w:tcPr>
            <w:tcW w:w="1276" w:type="dxa"/>
            <w:noWrap/>
            <w:vAlign w:val="center"/>
          </w:tcPr>
          <w:p w14:paraId="488A8ECE" w14:textId="0A15B527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科学研究项目</w:t>
            </w:r>
          </w:p>
        </w:tc>
        <w:tc>
          <w:tcPr>
            <w:tcW w:w="768" w:type="dxa"/>
            <w:noWrap/>
            <w:vAlign w:val="center"/>
          </w:tcPr>
          <w:p w14:paraId="06954EC1" w14:textId="7DD33E1B" w:rsidR="000F0F70" w:rsidRPr="00B60FB1" w:rsidRDefault="000F0F70" w:rsidP="000F0F7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研究生组</w:t>
            </w:r>
          </w:p>
        </w:tc>
      </w:tr>
    </w:tbl>
    <w:p w14:paraId="41F77492" w14:textId="77777777" w:rsidR="000F0F70" w:rsidRDefault="000F0F70">
      <w:pPr>
        <w:rPr>
          <w:rFonts w:hint="eastAsia"/>
        </w:rPr>
      </w:pPr>
    </w:p>
    <w:sectPr w:rsidR="000F0F70" w:rsidSect="00A075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70"/>
    <w:rsid w:val="000F0F70"/>
    <w:rsid w:val="00623387"/>
    <w:rsid w:val="00A07510"/>
    <w:rsid w:val="00C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B3A62"/>
  <w15:chartTrackingRefBased/>
  <w15:docId w15:val="{07A69F60-5DAC-4AA2-8ADF-C2EF7F92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7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F7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7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7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70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70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70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70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70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70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F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7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F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70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F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70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F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F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926</Characters>
  <Application>Microsoft Office Word</Application>
  <DocSecurity>0</DocSecurity>
  <Lines>185</Lines>
  <Paragraphs>201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Tung Chan</dc:creator>
  <cp:keywords/>
  <dc:description/>
  <cp:lastModifiedBy>Ying Tung Chan</cp:lastModifiedBy>
  <cp:revision>2</cp:revision>
  <dcterms:created xsi:type="dcterms:W3CDTF">2025-10-22T02:37:00Z</dcterms:created>
  <dcterms:modified xsi:type="dcterms:W3CDTF">2025-10-22T02:50:00Z</dcterms:modified>
</cp:coreProperties>
</file>